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0D53" w14:textId="4F004A1A" w:rsidR="0086446A" w:rsidRDefault="00BB00E8" w:rsidP="2E4651AE">
      <w:pPr>
        <w:rPr>
          <w:rFonts w:ascii="Calibri" w:eastAsia="Calibri" w:hAnsi="Calibri" w:cs="Calibri"/>
          <w:lang w:val="en-US"/>
        </w:rPr>
      </w:pPr>
      <w:r w:rsidRPr="2E4651AE">
        <w:rPr>
          <w:rFonts w:ascii="Calibri" w:eastAsia="Calibri" w:hAnsi="Calibri" w:cs="Calibri"/>
          <w:lang w:val="en-US"/>
        </w:rPr>
        <w:t xml:space="preserve">POLICY DOCUMENT: </w:t>
      </w:r>
      <w:r w:rsidR="00720033" w:rsidRPr="2E4651AE">
        <w:rPr>
          <w:rFonts w:ascii="Calibri" w:eastAsia="Calibri" w:hAnsi="Calibri" w:cs="Calibri"/>
          <w:lang w:val="en-US"/>
        </w:rPr>
        <w:t>(</w:t>
      </w:r>
      <w:r w:rsidRPr="2E4651AE">
        <w:rPr>
          <w:rFonts w:ascii="Calibri" w:eastAsia="Calibri" w:hAnsi="Calibri" w:cs="Calibri"/>
          <w:i/>
          <w:iCs/>
          <w:lang w:val="en-US"/>
        </w:rPr>
        <w:t>insert Tuckshop / Canteen name]</w:t>
      </w:r>
      <w:r w:rsidR="00720033" w:rsidRPr="2E4651AE">
        <w:rPr>
          <w:rFonts w:ascii="Calibri" w:eastAsia="Calibri" w:hAnsi="Calibri" w:cs="Calibri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BB00E8" w14:paraId="05F486F8" w14:textId="77777777" w:rsidTr="2E4651AE">
        <w:tc>
          <w:tcPr>
            <w:tcW w:w="2122" w:type="dxa"/>
          </w:tcPr>
          <w:p w14:paraId="12D5E98C" w14:textId="69B47847" w:rsidR="00BB00E8" w:rsidRPr="003567A6" w:rsidRDefault="00BB00E8" w:rsidP="2E4651A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2E4651AE">
              <w:rPr>
                <w:rFonts w:ascii="Calibri" w:eastAsia="Calibri" w:hAnsi="Calibri" w:cs="Calibri"/>
                <w:b/>
                <w:bCs/>
                <w:lang w:val="en-US"/>
              </w:rPr>
              <w:t xml:space="preserve">Policy Name:  </w:t>
            </w:r>
          </w:p>
        </w:tc>
        <w:tc>
          <w:tcPr>
            <w:tcW w:w="6894" w:type="dxa"/>
          </w:tcPr>
          <w:p w14:paraId="336D5F79" w14:textId="7373F1E1" w:rsidR="00BB00E8" w:rsidRDefault="000803AA" w:rsidP="2E4651AE">
            <w:pPr>
              <w:rPr>
                <w:rFonts w:ascii="Calibri" w:eastAsia="Calibri" w:hAnsi="Calibri" w:cs="Calibri"/>
                <w:lang w:val="en-US"/>
              </w:rPr>
            </w:pPr>
            <w:r w:rsidRPr="2E4651AE">
              <w:rPr>
                <w:rFonts w:ascii="Calibri" w:eastAsia="Calibri" w:hAnsi="Calibri" w:cs="Calibri"/>
              </w:rPr>
              <w:t>Allergy Management Policy</w:t>
            </w:r>
          </w:p>
        </w:tc>
      </w:tr>
      <w:tr w:rsidR="00BB00E8" w14:paraId="348DB7AD" w14:textId="77777777" w:rsidTr="2E4651AE">
        <w:tc>
          <w:tcPr>
            <w:tcW w:w="2122" w:type="dxa"/>
          </w:tcPr>
          <w:p w14:paraId="51F6A888" w14:textId="70116511" w:rsidR="00BB00E8" w:rsidRPr="003567A6" w:rsidRDefault="00BB00E8" w:rsidP="2E4651A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2E4651AE">
              <w:rPr>
                <w:rFonts w:ascii="Calibri" w:eastAsia="Calibri" w:hAnsi="Calibri" w:cs="Calibri"/>
                <w:b/>
                <w:bCs/>
                <w:lang w:val="en-US"/>
              </w:rPr>
              <w:t>Policy Number</w:t>
            </w:r>
          </w:p>
        </w:tc>
        <w:tc>
          <w:tcPr>
            <w:tcW w:w="6894" w:type="dxa"/>
          </w:tcPr>
          <w:p w14:paraId="7EAC56DF" w14:textId="2FCFE0D8" w:rsidR="00BB00E8" w:rsidRPr="00BB00E8" w:rsidRDefault="00BB00E8" w:rsidP="2E4651AE">
            <w:pPr>
              <w:rPr>
                <w:rFonts w:ascii="Calibri" w:eastAsia="Calibri" w:hAnsi="Calibri" w:cs="Calibri"/>
                <w:i/>
                <w:iCs/>
                <w:lang w:val="en-US"/>
              </w:rPr>
            </w:pPr>
            <w:r w:rsidRPr="2E4651AE">
              <w:rPr>
                <w:rFonts w:ascii="Calibri" w:eastAsia="Calibri" w:hAnsi="Calibri" w:cs="Calibri"/>
                <w:i/>
                <w:iCs/>
                <w:highlight w:val="yellow"/>
                <w:lang w:val="en-US"/>
              </w:rPr>
              <w:t>(If applicable)</w:t>
            </w:r>
            <w:r w:rsidRPr="2E4651AE">
              <w:rPr>
                <w:rFonts w:ascii="Calibri" w:eastAsia="Calibri" w:hAnsi="Calibri" w:cs="Calibri"/>
                <w:i/>
                <w:iCs/>
                <w:lang w:val="en-US"/>
              </w:rPr>
              <w:t xml:space="preserve"> </w:t>
            </w:r>
          </w:p>
        </w:tc>
      </w:tr>
      <w:tr w:rsidR="00BB00E8" w14:paraId="70A53BAF" w14:textId="77777777" w:rsidTr="2E4651AE">
        <w:tc>
          <w:tcPr>
            <w:tcW w:w="2122" w:type="dxa"/>
          </w:tcPr>
          <w:p w14:paraId="10EA7BB0" w14:textId="346F2EAC" w:rsidR="00BB00E8" w:rsidRPr="003567A6" w:rsidRDefault="00BB00E8" w:rsidP="2E4651A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2E4651AE">
              <w:rPr>
                <w:rFonts w:ascii="Calibri" w:eastAsia="Calibri" w:hAnsi="Calibri" w:cs="Calibri"/>
                <w:b/>
                <w:bCs/>
                <w:lang w:val="en-US"/>
              </w:rPr>
              <w:t xml:space="preserve">Date Published:  </w:t>
            </w:r>
          </w:p>
        </w:tc>
        <w:tc>
          <w:tcPr>
            <w:tcW w:w="6894" w:type="dxa"/>
          </w:tcPr>
          <w:p w14:paraId="0E97CD22" w14:textId="7DB20FCE" w:rsidR="00BB00E8" w:rsidRDefault="000803AA" w:rsidP="2E4651AE">
            <w:pPr>
              <w:rPr>
                <w:rFonts w:ascii="Calibri" w:eastAsia="Calibri" w:hAnsi="Calibri" w:cs="Calibri"/>
                <w:lang w:val="en-US"/>
              </w:rPr>
            </w:pPr>
            <w:r w:rsidRPr="2E4651AE">
              <w:rPr>
                <w:rFonts w:ascii="Calibri" w:eastAsia="Calibri" w:hAnsi="Calibri" w:cs="Calibri"/>
                <w:highlight w:val="yellow"/>
                <w:lang w:val="en-US"/>
              </w:rPr>
              <w:t>[insert date]</w:t>
            </w:r>
          </w:p>
        </w:tc>
      </w:tr>
      <w:tr w:rsidR="00BB00E8" w14:paraId="2F14D605" w14:textId="77777777" w:rsidTr="2E4651AE">
        <w:tc>
          <w:tcPr>
            <w:tcW w:w="2122" w:type="dxa"/>
          </w:tcPr>
          <w:p w14:paraId="75CCF4C7" w14:textId="528C0BBA" w:rsidR="00BB00E8" w:rsidRPr="003567A6" w:rsidRDefault="00BB00E8" w:rsidP="2E4651A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2E4651AE">
              <w:rPr>
                <w:rFonts w:ascii="Calibri" w:eastAsia="Calibri" w:hAnsi="Calibri" w:cs="Calibri"/>
                <w:b/>
                <w:bCs/>
                <w:lang w:val="en-US"/>
              </w:rPr>
              <w:t>Authori</w:t>
            </w:r>
            <w:r w:rsidR="000803AA" w:rsidRPr="2E4651AE">
              <w:rPr>
                <w:rFonts w:ascii="Calibri" w:eastAsia="Calibri" w:hAnsi="Calibri" w:cs="Calibri"/>
                <w:b/>
                <w:bCs/>
                <w:lang w:val="en-US"/>
              </w:rPr>
              <w:t>s</w:t>
            </w:r>
            <w:r w:rsidRPr="2E4651AE">
              <w:rPr>
                <w:rFonts w:ascii="Calibri" w:eastAsia="Calibri" w:hAnsi="Calibri" w:cs="Calibri"/>
                <w:b/>
                <w:bCs/>
                <w:lang w:val="en-US"/>
              </w:rPr>
              <w:t xml:space="preserve">ed by: </w:t>
            </w:r>
          </w:p>
        </w:tc>
        <w:tc>
          <w:tcPr>
            <w:tcW w:w="6894" w:type="dxa"/>
          </w:tcPr>
          <w:p w14:paraId="52D7779E" w14:textId="22B96917" w:rsidR="00BB00E8" w:rsidRPr="000803AA" w:rsidRDefault="002E096C" w:rsidP="2E4651AE">
            <w:pPr>
              <w:rPr>
                <w:rFonts w:ascii="Calibri" w:eastAsia="Calibri" w:hAnsi="Calibri" w:cs="Calibri"/>
                <w:i/>
                <w:iCs/>
                <w:highlight w:val="yellow"/>
                <w:lang w:val="en-US"/>
              </w:rPr>
            </w:pPr>
            <w:r w:rsidRPr="2E4651AE">
              <w:rPr>
                <w:rFonts w:ascii="Calibri" w:eastAsia="Calibri" w:hAnsi="Calibri" w:cs="Calibri"/>
                <w:i/>
                <w:iCs/>
                <w:highlight w:val="yellow"/>
                <w:lang w:val="en-US"/>
              </w:rPr>
              <w:t>(</w:t>
            </w:r>
            <w:r w:rsidR="00BB00E8" w:rsidRPr="2E4651AE">
              <w:rPr>
                <w:rFonts w:ascii="Calibri" w:eastAsia="Calibri" w:hAnsi="Calibri" w:cs="Calibri"/>
                <w:i/>
                <w:iCs/>
                <w:highlight w:val="yellow"/>
                <w:lang w:val="en-US"/>
              </w:rPr>
              <w:t>Eg. School Business Manager or P&amp;C President</w:t>
            </w:r>
            <w:r w:rsidRPr="2E4651AE">
              <w:rPr>
                <w:rFonts w:ascii="Calibri" w:eastAsia="Calibri" w:hAnsi="Calibri" w:cs="Calibri"/>
                <w:i/>
                <w:iCs/>
                <w:highlight w:val="yellow"/>
                <w:lang w:val="en-US"/>
              </w:rPr>
              <w:t>)</w:t>
            </w:r>
          </w:p>
        </w:tc>
      </w:tr>
      <w:tr w:rsidR="00BB00E8" w14:paraId="3F8AFB01" w14:textId="77777777" w:rsidTr="2E4651AE">
        <w:tc>
          <w:tcPr>
            <w:tcW w:w="2122" w:type="dxa"/>
          </w:tcPr>
          <w:p w14:paraId="0DEF9A78" w14:textId="148C1FEA" w:rsidR="00BB00E8" w:rsidRPr="003567A6" w:rsidRDefault="00BB00E8" w:rsidP="2E4651A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2E4651AE">
              <w:rPr>
                <w:rFonts w:ascii="Calibri" w:eastAsia="Calibri" w:hAnsi="Calibri" w:cs="Calibri"/>
                <w:b/>
                <w:bCs/>
                <w:lang w:val="en-US"/>
              </w:rPr>
              <w:t xml:space="preserve">Policy Purpose:  </w:t>
            </w:r>
          </w:p>
        </w:tc>
        <w:tc>
          <w:tcPr>
            <w:tcW w:w="6894" w:type="dxa"/>
          </w:tcPr>
          <w:p w14:paraId="40F52111" w14:textId="77777777" w:rsidR="00741909" w:rsidRDefault="00741909" w:rsidP="2E4651AE">
            <w:pPr>
              <w:rPr>
                <w:rFonts w:ascii="Calibri" w:eastAsia="Calibri" w:hAnsi="Calibri" w:cs="Calibri"/>
                <w:i/>
                <w:iCs/>
              </w:rPr>
            </w:pPr>
            <w:r w:rsidRPr="2E4651AE">
              <w:rPr>
                <w:rFonts w:ascii="Calibri" w:eastAsia="Calibri" w:hAnsi="Calibri" w:cs="Calibri"/>
                <w:i/>
                <w:iCs/>
              </w:rPr>
              <w:t>The purpose of this policy is to minimise the risk of allergic reactions, including anaphylaxis, within the school tuckshop environment.</w:t>
            </w:r>
          </w:p>
          <w:p w14:paraId="3A4D2807" w14:textId="77777777" w:rsidR="00741909" w:rsidRPr="00741909" w:rsidRDefault="00741909" w:rsidP="2E4651AE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17024DAA" w14:textId="77777777" w:rsidR="00741909" w:rsidRDefault="00741909" w:rsidP="2E4651AE">
            <w:pPr>
              <w:rPr>
                <w:rFonts w:ascii="Calibri" w:eastAsia="Calibri" w:hAnsi="Calibri" w:cs="Calibri"/>
                <w:i/>
                <w:iCs/>
              </w:rPr>
            </w:pPr>
            <w:r w:rsidRPr="2E4651AE">
              <w:rPr>
                <w:rFonts w:ascii="Calibri" w:eastAsia="Calibri" w:hAnsi="Calibri" w:cs="Calibri"/>
                <w:i/>
                <w:iCs/>
              </w:rPr>
              <w:t>Food allergies can be life-threatening. School tuckshops have a duty of care to provide a safe food service by managing food allergens, reducing cross-contamination risks, and ensuring staff and volunteers understand their responsibilities in allergy management.</w:t>
            </w:r>
          </w:p>
          <w:p w14:paraId="120712B2" w14:textId="77777777" w:rsidR="00741909" w:rsidRPr="00741909" w:rsidRDefault="00741909" w:rsidP="2E4651AE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3C05A4AB" w14:textId="071CD73D" w:rsidR="00BB00E8" w:rsidRPr="00BB00E8" w:rsidRDefault="00741909" w:rsidP="2E4651AE">
            <w:pPr>
              <w:rPr>
                <w:rFonts w:ascii="Calibri" w:eastAsia="Calibri" w:hAnsi="Calibri" w:cs="Calibri"/>
                <w:lang w:val="en-US"/>
              </w:rPr>
            </w:pPr>
            <w:r w:rsidRPr="2E4651AE">
              <w:rPr>
                <w:rFonts w:ascii="Calibri" w:eastAsia="Calibri" w:hAnsi="Calibri" w:cs="Calibri"/>
                <w:i/>
                <w:iCs/>
              </w:rPr>
              <w:t>This policy supports compliance with food safety legislation and aligns with school-based anaphylaxis management procedures.</w:t>
            </w:r>
          </w:p>
        </w:tc>
      </w:tr>
      <w:tr w:rsidR="00BB00E8" w14:paraId="1FE2E895" w14:textId="77777777" w:rsidTr="2E4651AE">
        <w:tc>
          <w:tcPr>
            <w:tcW w:w="2122" w:type="dxa"/>
          </w:tcPr>
          <w:p w14:paraId="4C52DDD5" w14:textId="6D086FC7" w:rsidR="00BB00E8" w:rsidRPr="003567A6" w:rsidRDefault="00BB00E8" w:rsidP="2E4651A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2E4651AE">
              <w:rPr>
                <w:rFonts w:ascii="Calibri" w:eastAsia="Calibri" w:hAnsi="Calibri" w:cs="Calibri"/>
                <w:b/>
                <w:bCs/>
                <w:lang w:val="en-US"/>
              </w:rPr>
              <w:t xml:space="preserve">Scope: </w:t>
            </w:r>
          </w:p>
        </w:tc>
        <w:tc>
          <w:tcPr>
            <w:tcW w:w="6894" w:type="dxa"/>
          </w:tcPr>
          <w:p w14:paraId="2F563B0A" w14:textId="77777777" w:rsidR="00741909" w:rsidRPr="00741909" w:rsidRDefault="00741909" w:rsidP="2E4651AE">
            <w:pPr>
              <w:rPr>
                <w:rFonts w:ascii="Calibri" w:eastAsia="Calibri" w:hAnsi="Calibri" w:cs="Calibri"/>
                <w:i/>
                <w:iCs/>
              </w:rPr>
            </w:pPr>
            <w:r w:rsidRPr="2E4651AE">
              <w:rPr>
                <w:rFonts w:ascii="Calibri" w:eastAsia="Calibri" w:hAnsi="Calibri" w:cs="Calibri"/>
                <w:i/>
                <w:iCs/>
              </w:rPr>
              <w:t>This policy applies to:</w:t>
            </w:r>
          </w:p>
          <w:p w14:paraId="1A23AF00" w14:textId="77777777" w:rsidR="00741909" w:rsidRPr="00741909" w:rsidRDefault="00741909" w:rsidP="2E4651AE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i/>
                <w:iCs/>
              </w:rPr>
            </w:pPr>
            <w:r w:rsidRPr="2E4651AE">
              <w:rPr>
                <w:rFonts w:ascii="Calibri" w:eastAsia="Calibri" w:hAnsi="Calibri" w:cs="Calibri"/>
                <w:i/>
                <w:iCs/>
              </w:rPr>
              <w:t>All tuckshop staff</w:t>
            </w:r>
          </w:p>
          <w:p w14:paraId="65FD4799" w14:textId="77777777" w:rsidR="00741909" w:rsidRPr="00741909" w:rsidRDefault="00741909" w:rsidP="2E4651AE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i/>
                <w:iCs/>
              </w:rPr>
            </w:pPr>
            <w:r w:rsidRPr="2E4651AE">
              <w:rPr>
                <w:rFonts w:ascii="Calibri" w:eastAsia="Calibri" w:hAnsi="Calibri" w:cs="Calibri"/>
                <w:i/>
                <w:iCs/>
              </w:rPr>
              <w:t>All volunteers</w:t>
            </w:r>
          </w:p>
          <w:p w14:paraId="40B0A60D" w14:textId="1601F592" w:rsidR="00741909" w:rsidRPr="00741909" w:rsidRDefault="00741909" w:rsidP="2E4651AE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i/>
                <w:iCs/>
              </w:rPr>
            </w:pPr>
            <w:r w:rsidRPr="2E4651AE">
              <w:rPr>
                <w:rFonts w:ascii="Calibri" w:eastAsia="Calibri" w:hAnsi="Calibri" w:cs="Calibri"/>
                <w:i/>
                <w:iCs/>
                <w:highlight w:val="yellow"/>
              </w:rPr>
              <w:t>P&amp;C/</w:t>
            </w:r>
            <w:r w:rsidR="0073216B" w:rsidRPr="2E4651AE">
              <w:rPr>
                <w:rFonts w:ascii="Calibri" w:eastAsia="Calibri" w:hAnsi="Calibri" w:cs="Calibri"/>
                <w:i/>
                <w:iCs/>
                <w:highlight w:val="yellow"/>
              </w:rPr>
              <w:t>P&amp;F</w:t>
            </w:r>
            <w:r w:rsidRPr="2E4651AE">
              <w:rPr>
                <w:rFonts w:ascii="Calibri" w:eastAsia="Calibri" w:hAnsi="Calibri" w:cs="Calibri"/>
                <w:i/>
                <w:iCs/>
              </w:rPr>
              <w:t xml:space="preserve"> members involved in tuckshop operations</w:t>
            </w:r>
          </w:p>
          <w:p w14:paraId="53DF2906" w14:textId="77777777" w:rsidR="00741909" w:rsidRPr="00741909" w:rsidRDefault="00741909" w:rsidP="2E4651AE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i/>
                <w:iCs/>
              </w:rPr>
            </w:pPr>
            <w:r w:rsidRPr="2E4651AE">
              <w:rPr>
                <w:rFonts w:ascii="Calibri" w:eastAsia="Calibri" w:hAnsi="Calibri" w:cs="Calibri"/>
                <w:i/>
                <w:iCs/>
              </w:rPr>
              <w:t>Relief staff and student helpers</w:t>
            </w:r>
          </w:p>
          <w:p w14:paraId="221522C0" w14:textId="57532995" w:rsidR="00BB00E8" w:rsidRPr="00BB00E8" w:rsidRDefault="00741909" w:rsidP="2E4651AE">
            <w:pPr>
              <w:numPr>
                <w:ilvl w:val="0"/>
                <w:numId w:val="6"/>
              </w:numPr>
              <w:rPr>
                <w:rFonts w:ascii="Calibri" w:eastAsia="Calibri" w:hAnsi="Calibri" w:cs="Calibri"/>
                <w:i/>
                <w:iCs/>
                <w:lang w:val="en-US"/>
              </w:rPr>
            </w:pPr>
            <w:r w:rsidRPr="2E4651AE">
              <w:rPr>
                <w:rFonts w:ascii="Calibri" w:eastAsia="Calibri" w:hAnsi="Calibri" w:cs="Calibri"/>
                <w:i/>
                <w:iCs/>
              </w:rPr>
              <w:t>External suppliers providing food to the tuckshop</w:t>
            </w:r>
            <w:r w:rsidR="0073216B" w:rsidRPr="2E4651AE">
              <w:rPr>
                <w:rFonts w:ascii="Calibri" w:eastAsia="Calibri" w:hAnsi="Calibri" w:cs="Calibri"/>
                <w:i/>
                <w:iCs/>
              </w:rPr>
              <w:t>.</w:t>
            </w:r>
          </w:p>
        </w:tc>
      </w:tr>
      <w:tr w:rsidR="00BB00E8" w14:paraId="5ABC9609" w14:textId="77777777" w:rsidTr="2E4651AE">
        <w:tc>
          <w:tcPr>
            <w:tcW w:w="2122" w:type="dxa"/>
          </w:tcPr>
          <w:p w14:paraId="2763F586" w14:textId="6BA27C39" w:rsidR="00BB00E8" w:rsidRPr="003567A6" w:rsidRDefault="00BB00E8" w:rsidP="2E4651A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2E4651AE">
              <w:rPr>
                <w:rFonts w:ascii="Calibri" w:eastAsia="Calibri" w:hAnsi="Calibri" w:cs="Calibri"/>
                <w:b/>
                <w:bCs/>
                <w:lang w:val="en-US"/>
              </w:rPr>
              <w:t xml:space="preserve">Definitions: </w:t>
            </w:r>
          </w:p>
        </w:tc>
        <w:tc>
          <w:tcPr>
            <w:tcW w:w="6894" w:type="dxa"/>
          </w:tcPr>
          <w:p w14:paraId="173C6A9B" w14:textId="77777777" w:rsidR="0073216B" w:rsidRDefault="0073216B" w:rsidP="2E4651AE">
            <w:pPr>
              <w:rPr>
                <w:rFonts w:ascii="Calibri" w:eastAsia="Calibri" w:hAnsi="Calibri" w:cs="Calibri"/>
              </w:rPr>
            </w:pPr>
            <w:r w:rsidRPr="2E4651AE">
              <w:rPr>
                <w:rFonts w:ascii="Calibri" w:eastAsia="Calibri" w:hAnsi="Calibri" w:cs="Calibri"/>
                <w:b/>
                <w:bCs/>
              </w:rPr>
              <w:t>Allergy:</w:t>
            </w:r>
            <w:r w:rsidRPr="2E4651AE">
              <w:rPr>
                <w:rFonts w:ascii="Calibri" w:eastAsia="Calibri" w:hAnsi="Calibri" w:cs="Calibri"/>
              </w:rPr>
              <w:t xml:space="preserve"> An immune system response to a food protein that the body mistakenly identifies as harmful.</w:t>
            </w:r>
          </w:p>
          <w:p w14:paraId="302A72CE" w14:textId="77777777" w:rsidR="0073216B" w:rsidRPr="0073216B" w:rsidRDefault="0073216B" w:rsidP="2E4651AE">
            <w:pPr>
              <w:rPr>
                <w:rFonts w:ascii="Calibri" w:eastAsia="Calibri" w:hAnsi="Calibri" w:cs="Calibri"/>
              </w:rPr>
            </w:pPr>
          </w:p>
          <w:p w14:paraId="03D26C1E" w14:textId="77777777" w:rsidR="0073216B" w:rsidRDefault="0073216B" w:rsidP="2E4651AE">
            <w:pPr>
              <w:rPr>
                <w:rFonts w:ascii="Calibri" w:eastAsia="Calibri" w:hAnsi="Calibri" w:cs="Calibri"/>
              </w:rPr>
            </w:pPr>
            <w:r w:rsidRPr="2E4651AE">
              <w:rPr>
                <w:rFonts w:ascii="Calibri" w:eastAsia="Calibri" w:hAnsi="Calibri" w:cs="Calibri"/>
                <w:b/>
                <w:bCs/>
              </w:rPr>
              <w:t>Anaphylaxis:</w:t>
            </w:r>
            <w:r w:rsidRPr="2E4651AE">
              <w:rPr>
                <w:rFonts w:ascii="Calibri" w:eastAsia="Calibri" w:hAnsi="Calibri" w:cs="Calibri"/>
              </w:rPr>
              <w:t xml:space="preserve"> A severe, potentially life-threatening allergic reaction requiring immediate medical treatment.</w:t>
            </w:r>
          </w:p>
          <w:p w14:paraId="28892A0E" w14:textId="77777777" w:rsidR="0073216B" w:rsidRPr="0073216B" w:rsidRDefault="0073216B" w:rsidP="2E4651AE">
            <w:pPr>
              <w:rPr>
                <w:rFonts w:ascii="Calibri" w:eastAsia="Calibri" w:hAnsi="Calibri" w:cs="Calibri"/>
              </w:rPr>
            </w:pPr>
          </w:p>
          <w:p w14:paraId="3A8A6A07" w14:textId="77777777" w:rsidR="0073216B" w:rsidRDefault="0073216B" w:rsidP="2E4651AE">
            <w:pPr>
              <w:rPr>
                <w:rFonts w:ascii="Calibri" w:eastAsia="Calibri" w:hAnsi="Calibri" w:cs="Calibri"/>
              </w:rPr>
            </w:pPr>
            <w:r w:rsidRPr="2E4651AE">
              <w:rPr>
                <w:rFonts w:ascii="Calibri" w:eastAsia="Calibri" w:hAnsi="Calibri" w:cs="Calibri"/>
                <w:b/>
                <w:bCs/>
              </w:rPr>
              <w:t>Allergen:</w:t>
            </w:r>
            <w:r w:rsidRPr="2E4651AE">
              <w:rPr>
                <w:rFonts w:ascii="Calibri" w:eastAsia="Calibri" w:hAnsi="Calibri" w:cs="Calibri"/>
              </w:rPr>
              <w:t xml:space="preserve"> A substance capable of triggering an allergic reaction.</w:t>
            </w:r>
          </w:p>
          <w:p w14:paraId="103F1353" w14:textId="77777777" w:rsidR="0073216B" w:rsidRPr="0073216B" w:rsidRDefault="0073216B" w:rsidP="2E4651AE">
            <w:pPr>
              <w:rPr>
                <w:rFonts w:ascii="Calibri" w:eastAsia="Calibri" w:hAnsi="Calibri" w:cs="Calibri"/>
              </w:rPr>
            </w:pPr>
          </w:p>
          <w:p w14:paraId="6B12720C" w14:textId="77777777" w:rsidR="0073216B" w:rsidRDefault="0073216B" w:rsidP="2E4651AE">
            <w:pPr>
              <w:rPr>
                <w:rFonts w:ascii="Calibri" w:eastAsia="Calibri" w:hAnsi="Calibri" w:cs="Calibri"/>
              </w:rPr>
            </w:pPr>
            <w:r w:rsidRPr="2E4651AE">
              <w:rPr>
                <w:rFonts w:ascii="Calibri" w:eastAsia="Calibri" w:hAnsi="Calibri" w:cs="Calibri"/>
                <w:b/>
                <w:bCs/>
              </w:rPr>
              <w:t>Cross-contamination:</w:t>
            </w:r>
            <w:r w:rsidRPr="2E4651AE">
              <w:rPr>
                <w:rFonts w:ascii="Calibri" w:eastAsia="Calibri" w:hAnsi="Calibri" w:cs="Calibri"/>
              </w:rPr>
              <w:t xml:space="preserve"> The transfer of allergens from one food or surface to another.</w:t>
            </w:r>
          </w:p>
          <w:p w14:paraId="2CD20200" w14:textId="77777777" w:rsidR="0073216B" w:rsidRPr="0073216B" w:rsidRDefault="0073216B" w:rsidP="2E4651AE">
            <w:pPr>
              <w:rPr>
                <w:rFonts w:ascii="Calibri" w:eastAsia="Calibri" w:hAnsi="Calibri" w:cs="Calibri"/>
              </w:rPr>
            </w:pPr>
          </w:p>
          <w:p w14:paraId="40CEDB37" w14:textId="0D79EDE9" w:rsidR="002E096C" w:rsidRDefault="0073216B" w:rsidP="2E4651AE">
            <w:pPr>
              <w:rPr>
                <w:rFonts w:ascii="Calibri" w:eastAsia="Calibri" w:hAnsi="Calibri" w:cs="Calibri"/>
                <w:lang w:val="en-US"/>
              </w:rPr>
            </w:pPr>
            <w:r w:rsidRPr="2E4651AE">
              <w:rPr>
                <w:rFonts w:ascii="Calibri" w:eastAsia="Calibri" w:hAnsi="Calibri" w:cs="Calibri"/>
                <w:b/>
                <w:bCs/>
              </w:rPr>
              <w:t>Allergy-Aware Product:</w:t>
            </w:r>
            <w:r w:rsidRPr="2E4651AE">
              <w:rPr>
                <w:rFonts w:ascii="Calibri" w:eastAsia="Calibri" w:hAnsi="Calibri" w:cs="Calibri"/>
              </w:rPr>
              <w:t xml:space="preserve"> A product made with consideration of allergen management practices but not guaranteed allergen-free unless specifically certified.</w:t>
            </w:r>
          </w:p>
        </w:tc>
      </w:tr>
      <w:tr w:rsidR="00BB00E8" w14:paraId="43C61273" w14:textId="77777777" w:rsidTr="2E4651AE">
        <w:tc>
          <w:tcPr>
            <w:tcW w:w="2122" w:type="dxa"/>
          </w:tcPr>
          <w:p w14:paraId="72806047" w14:textId="0BF2D0DB" w:rsidR="00BB00E8" w:rsidRPr="003567A6" w:rsidRDefault="002E096C" w:rsidP="2E4651A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2E4651AE">
              <w:rPr>
                <w:rFonts w:ascii="Calibri" w:eastAsia="Calibri" w:hAnsi="Calibri" w:cs="Calibri"/>
                <w:b/>
                <w:bCs/>
                <w:lang w:val="en-US"/>
              </w:rPr>
              <w:t xml:space="preserve">Policy Actions: </w:t>
            </w:r>
          </w:p>
        </w:tc>
        <w:tc>
          <w:tcPr>
            <w:tcW w:w="6894" w:type="dxa"/>
          </w:tcPr>
          <w:p w14:paraId="4B8380FC" w14:textId="77777777" w:rsidR="00D45C8F" w:rsidRPr="00D45C8F" w:rsidRDefault="00D45C8F" w:rsidP="00D45C8F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2E4651A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1. Communication and Information</w:t>
            </w:r>
          </w:p>
          <w:p w14:paraId="0EF832AB" w14:textId="77777777" w:rsidR="00D45C8F" w:rsidRPr="00D45C8F" w:rsidRDefault="00D45C8F" w:rsidP="00D45C8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Parents/carers are responsible for informing the school of their child’s diagnosed food allergies.</w:t>
            </w:r>
          </w:p>
          <w:p w14:paraId="62BC8BE8" w14:textId="77777777" w:rsidR="00D45C8F" w:rsidRPr="00D45C8F" w:rsidRDefault="00D45C8F" w:rsidP="00D45C8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The school will notify the tuckshop of students with severe, life-threatening allergies where relevant to tuckshop operations.</w:t>
            </w:r>
          </w:p>
          <w:p w14:paraId="76502F8D" w14:textId="77777777" w:rsidR="00D45C8F" w:rsidRPr="00D45C8F" w:rsidRDefault="00D45C8F" w:rsidP="00D45C8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The tuckshop will not provide “allergen-free guarantees” unless the product is commercially manufactured and clearly labelled as such.</w:t>
            </w:r>
          </w:p>
          <w:p w14:paraId="7D3D201E" w14:textId="77777777" w:rsidR="00D45C8F" w:rsidRPr="00D45C8F" w:rsidRDefault="00D45C8F" w:rsidP="00D45C8F">
            <w:pPr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Ingredient lists for all recipes and products will be maintained and available upon request.</w:t>
            </w:r>
          </w:p>
          <w:p w14:paraId="2D060E51" w14:textId="2907AF76" w:rsidR="00D45C8F" w:rsidRPr="00D45C8F" w:rsidRDefault="00D45C8F" w:rsidP="00D45C8F">
            <w:pPr>
              <w:rPr>
                <w:rFonts w:ascii="Calibri" w:eastAsia="Calibri" w:hAnsi="Calibri" w:cs="Calibri"/>
                <w:color w:val="000000"/>
              </w:rPr>
            </w:pPr>
          </w:p>
          <w:p w14:paraId="5C601729" w14:textId="77777777" w:rsidR="00D45C8F" w:rsidRPr="00D45C8F" w:rsidRDefault="00D45C8F" w:rsidP="00D45C8F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2E4651A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2. Allergen Identification and Labelling</w:t>
            </w:r>
          </w:p>
          <w:p w14:paraId="6D6562A6" w14:textId="77777777" w:rsidR="00D45C8F" w:rsidRPr="00D45C8F" w:rsidRDefault="00D45C8F" w:rsidP="00D45C8F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All packaged foods must comply with Australian allergen labelling laws.</w:t>
            </w:r>
          </w:p>
          <w:p w14:paraId="65866394" w14:textId="77777777" w:rsidR="00D45C8F" w:rsidRPr="00D45C8F" w:rsidRDefault="00D45C8F" w:rsidP="00D45C8F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Ingredients of tuckshop-made items must be recorded and updated if recipes change.</w:t>
            </w:r>
          </w:p>
          <w:p w14:paraId="6FA7068B" w14:textId="77777777" w:rsidR="00D45C8F" w:rsidRPr="00D45C8F" w:rsidRDefault="00D45C8F" w:rsidP="00D45C8F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Staff must check ingredient labels every time a product is delivered, as manufacturers may change formulations.</w:t>
            </w:r>
          </w:p>
          <w:p w14:paraId="75B30445" w14:textId="77777777" w:rsidR="00D45C8F" w:rsidRPr="00D45C8F" w:rsidRDefault="00D45C8F" w:rsidP="00D45C8F">
            <w:pPr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“May contain” statements must be taken seriously and considered when responding to allergy enquiries.</w:t>
            </w:r>
          </w:p>
          <w:p w14:paraId="6FB7BBFB" w14:textId="26E3193C" w:rsidR="00D45C8F" w:rsidRPr="00D45C8F" w:rsidRDefault="00D45C8F" w:rsidP="00D45C8F">
            <w:pPr>
              <w:rPr>
                <w:rFonts w:ascii="Calibri" w:eastAsia="Calibri" w:hAnsi="Calibri" w:cs="Calibri"/>
                <w:color w:val="000000"/>
              </w:rPr>
            </w:pPr>
          </w:p>
          <w:p w14:paraId="76B38231" w14:textId="77777777" w:rsidR="00D45C8F" w:rsidRPr="00D45C8F" w:rsidRDefault="00D45C8F" w:rsidP="00D45C8F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2E4651A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3. Food Preparation and Cross-Contamination Control</w:t>
            </w:r>
          </w:p>
          <w:p w14:paraId="5F96954C" w14:textId="77777777" w:rsidR="00D45C8F" w:rsidRPr="00D45C8F" w:rsidRDefault="00D45C8F" w:rsidP="00D45C8F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Hands must be washed thoroughly before food preparation and between tasks.</w:t>
            </w:r>
          </w:p>
          <w:p w14:paraId="2EEA7C6C" w14:textId="77777777" w:rsidR="00D45C8F" w:rsidRPr="00D45C8F" w:rsidRDefault="00D45C8F" w:rsidP="00D45C8F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Separate utensils and equipment should be used where possible when preparing allergy-aware orders.</w:t>
            </w:r>
          </w:p>
          <w:p w14:paraId="74B3FFB7" w14:textId="77777777" w:rsidR="00D45C8F" w:rsidRPr="00D45C8F" w:rsidRDefault="00D45C8F" w:rsidP="00D45C8F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Food preparation surfaces must be cleaned and sanitised before preparing allergy-aware items.</w:t>
            </w:r>
          </w:p>
          <w:p w14:paraId="3866106F" w14:textId="77777777" w:rsidR="00D45C8F" w:rsidRPr="00D45C8F" w:rsidRDefault="00D45C8F" w:rsidP="00D45C8F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Shared equipment (e.g., sandwich presses, knives, chopping boards) must be thoroughly cleaned between uses.</w:t>
            </w:r>
          </w:p>
          <w:p w14:paraId="3E913D07" w14:textId="77777777" w:rsidR="00D45C8F" w:rsidRPr="00D45C8F" w:rsidRDefault="00D45C8F" w:rsidP="00D45C8F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Where possible, allergy-aware meals should be prepared first.</w:t>
            </w:r>
          </w:p>
          <w:p w14:paraId="64DF130D" w14:textId="77777777" w:rsidR="00D45C8F" w:rsidRPr="00D45C8F" w:rsidRDefault="00D45C8F" w:rsidP="00D45C8F">
            <w:pPr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Gloves are not a substitute for hand washing.</w:t>
            </w:r>
          </w:p>
          <w:p w14:paraId="5CEACDEF" w14:textId="714BE4B1" w:rsidR="00D45C8F" w:rsidRPr="00D45C8F" w:rsidRDefault="00D45C8F" w:rsidP="00D45C8F">
            <w:pPr>
              <w:rPr>
                <w:rFonts w:ascii="Calibri" w:eastAsia="Calibri" w:hAnsi="Calibri" w:cs="Calibri"/>
                <w:color w:val="000000"/>
              </w:rPr>
            </w:pPr>
          </w:p>
          <w:p w14:paraId="36EB3F76" w14:textId="77777777" w:rsidR="00D45C8F" w:rsidRPr="00D45C8F" w:rsidRDefault="00D45C8F" w:rsidP="00D45C8F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2E4651A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4. Ordering and Serving Procedures</w:t>
            </w:r>
          </w:p>
          <w:p w14:paraId="79EE7272" w14:textId="77777777" w:rsidR="00D45C8F" w:rsidRPr="00D45C8F" w:rsidRDefault="00D45C8F" w:rsidP="00D45C8F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Special allergy orders must be clearly identified (e.g., highlighted order slip).</w:t>
            </w:r>
          </w:p>
          <w:p w14:paraId="4BA984C9" w14:textId="77777777" w:rsidR="00D45C8F" w:rsidRPr="00D45C8F" w:rsidRDefault="00D45C8F" w:rsidP="00D45C8F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One designated staff member should prepare the allergy-aware meal from start to finish where possible.</w:t>
            </w:r>
          </w:p>
          <w:p w14:paraId="4157F926" w14:textId="77777777" w:rsidR="00D45C8F" w:rsidRPr="00D45C8F" w:rsidRDefault="00D45C8F" w:rsidP="00D45C8F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The meal must be clearly labelled with the student’s name and allergy details.</w:t>
            </w:r>
          </w:p>
          <w:p w14:paraId="66FDF062" w14:textId="77777777" w:rsidR="00D45C8F" w:rsidRPr="00D45C8F" w:rsidRDefault="00D45C8F" w:rsidP="00D45C8F">
            <w:pPr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Verbal confirmation should occur at point of collection where appropriate.</w:t>
            </w:r>
          </w:p>
          <w:p w14:paraId="36FBC7AE" w14:textId="07914899" w:rsidR="00D45C8F" w:rsidRPr="00D45C8F" w:rsidRDefault="00D45C8F" w:rsidP="00D45C8F">
            <w:pPr>
              <w:rPr>
                <w:rFonts w:ascii="Calibri" w:eastAsia="Calibri" w:hAnsi="Calibri" w:cs="Calibri"/>
                <w:color w:val="000000"/>
              </w:rPr>
            </w:pPr>
          </w:p>
          <w:p w14:paraId="74281D26" w14:textId="77777777" w:rsidR="00D45C8F" w:rsidRPr="00D45C8F" w:rsidRDefault="00D45C8F" w:rsidP="00D45C8F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2E4651A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5. Training and Awareness</w:t>
            </w:r>
          </w:p>
          <w:p w14:paraId="41F32AD3" w14:textId="77777777" w:rsidR="00D45C8F" w:rsidRPr="00D45C8F" w:rsidRDefault="00D45C8F" w:rsidP="00D45C8F">
            <w:pPr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All tuckshop staff and volunteers will receive basic allergy awareness training annually.</w:t>
            </w:r>
          </w:p>
          <w:p w14:paraId="28BEA969" w14:textId="77777777" w:rsidR="00D45C8F" w:rsidRPr="00D45C8F" w:rsidRDefault="00D45C8F" w:rsidP="00D45C8F">
            <w:pPr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Staff must understand:</w:t>
            </w:r>
          </w:p>
          <w:p w14:paraId="3575E2EF" w14:textId="77777777" w:rsidR="00D45C8F" w:rsidRPr="00D45C8F" w:rsidRDefault="00D45C8F" w:rsidP="00D45C8F">
            <w:pPr>
              <w:numPr>
                <w:ilvl w:val="1"/>
                <w:numId w:val="11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Common food allergens (e.g., peanuts, tree nuts, dairy, egg, wheat, soy, sesame, seafood).</w:t>
            </w:r>
          </w:p>
          <w:p w14:paraId="068FB0BC" w14:textId="77777777" w:rsidR="00D45C8F" w:rsidRPr="00D45C8F" w:rsidRDefault="00D45C8F" w:rsidP="00D45C8F">
            <w:pPr>
              <w:numPr>
                <w:ilvl w:val="1"/>
                <w:numId w:val="11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Symptoms of mild to severe allergic reactions.</w:t>
            </w:r>
          </w:p>
          <w:p w14:paraId="517BE1D4" w14:textId="77777777" w:rsidR="00D45C8F" w:rsidRPr="00D45C8F" w:rsidRDefault="00D45C8F" w:rsidP="00D45C8F">
            <w:pPr>
              <w:numPr>
                <w:ilvl w:val="1"/>
                <w:numId w:val="11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Emergency response procedures.</w:t>
            </w:r>
          </w:p>
          <w:p w14:paraId="18937170" w14:textId="77777777" w:rsidR="00D45C8F" w:rsidRPr="00D45C8F" w:rsidRDefault="00D45C8F" w:rsidP="00D45C8F">
            <w:pPr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New volunteers must be briefed on allergy management procedures prior to commencing duties.</w:t>
            </w:r>
          </w:p>
          <w:p w14:paraId="6B738CFB" w14:textId="0DE9F9C7" w:rsidR="00D45C8F" w:rsidRPr="00D45C8F" w:rsidRDefault="00D45C8F" w:rsidP="00D45C8F">
            <w:pPr>
              <w:rPr>
                <w:rFonts w:ascii="Calibri" w:eastAsia="Calibri" w:hAnsi="Calibri" w:cs="Calibri"/>
                <w:color w:val="000000"/>
              </w:rPr>
            </w:pPr>
          </w:p>
          <w:p w14:paraId="4AF47B55" w14:textId="77777777" w:rsidR="00D45C8F" w:rsidRPr="00D45C8F" w:rsidRDefault="00D45C8F" w:rsidP="00D45C8F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2E4651A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6. Emergency Response</w:t>
            </w:r>
          </w:p>
          <w:p w14:paraId="202C595A" w14:textId="77777777" w:rsidR="00D45C8F" w:rsidRPr="00D45C8F" w:rsidRDefault="00D45C8F" w:rsidP="00D45C8F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In the event of a suspected allergic reaction:</w:t>
            </w:r>
          </w:p>
          <w:p w14:paraId="606C93A1" w14:textId="77777777" w:rsidR="00D45C8F" w:rsidRPr="00D45C8F" w:rsidRDefault="00D45C8F" w:rsidP="00D45C8F">
            <w:pPr>
              <w:numPr>
                <w:ilvl w:val="1"/>
                <w:numId w:val="12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lastRenderedPageBreak/>
              <w:t>Follow the school’s Anaphylaxis Management Plan immediately.</w:t>
            </w:r>
          </w:p>
          <w:p w14:paraId="406881B2" w14:textId="77777777" w:rsidR="00D45C8F" w:rsidRPr="00D45C8F" w:rsidRDefault="00D45C8F" w:rsidP="00D45C8F">
            <w:pPr>
              <w:numPr>
                <w:ilvl w:val="1"/>
                <w:numId w:val="12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Alert school administration.</w:t>
            </w:r>
          </w:p>
          <w:p w14:paraId="04446D53" w14:textId="77777777" w:rsidR="00D45C8F" w:rsidRPr="00D45C8F" w:rsidRDefault="00D45C8F" w:rsidP="00D45C8F">
            <w:pPr>
              <w:numPr>
                <w:ilvl w:val="1"/>
                <w:numId w:val="12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Call emergency services (000) if symptoms are severe.</w:t>
            </w:r>
          </w:p>
          <w:p w14:paraId="5022AC98" w14:textId="77777777" w:rsidR="00D45C8F" w:rsidRPr="00D45C8F" w:rsidRDefault="00D45C8F" w:rsidP="00D45C8F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An adrenaline auto-injector (e.g., EpiPen®) must only be administered by trained personnel in accordance with school procedures.</w:t>
            </w:r>
          </w:p>
          <w:p w14:paraId="5D4419D6" w14:textId="77777777" w:rsidR="00D45C8F" w:rsidRPr="00D45C8F" w:rsidRDefault="00D45C8F" w:rsidP="00D45C8F">
            <w:pPr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An incident report must be completed following any allergic reaction.</w:t>
            </w:r>
          </w:p>
          <w:p w14:paraId="189FFFAF" w14:textId="64200D6D" w:rsidR="00D45C8F" w:rsidRPr="00D45C8F" w:rsidRDefault="00D45C8F" w:rsidP="00D45C8F">
            <w:pPr>
              <w:rPr>
                <w:rFonts w:ascii="Calibri" w:eastAsia="Calibri" w:hAnsi="Calibri" w:cs="Calibri"/>
                <w:color w:val="000000"/>
              </w:rPr>
            </w:pPr>
          </w:p>
          <w:p w14:paraId="4D20A75A" w14:textId="77777777" w:rsidR="00D45C8F" w:rsidRPr="00D45C8F" w:rsidRDefault="00D45C8F" w:rsidP="00D45C8F">
            <w:pPr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2E4651AE">
              <w:rPr>
                <w:rFonts w:ascii="Calibri" w:eastAsia="Calibri" w:hAnsi="Calibri" w:cs="Calibri"/>
                <w:b/>
                <w:bCs/>
                <w:color w:val="000000" w:themeColor="text1"/>
              </w:rPr>
              <w:t>7. Non-Compliance</w:t>
            </w:r>
          </w:p>
          <w:p w14:paraId="78C10C2C" w14:textId="77777777" w:rsidR="00D45C8F" w:rsidRPr="00D45C8F" w:rsidRDefault="00D45C8F" w:rsidP="00D45C8F">
            <w:p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Failure to follow this policy may result in:</w:t>
            </w:r>
          </w:p>
          <w:p w14:paraId="20FCE414" w14:textId="0463507F" w:rsidR="00D45C8F" w:rsidRPr="00D45C8F" w:rsidRDefault="00D45C8F" w:rsidP="00D45C8F">
            <w:pPr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Immediate re</w:t>
            </w:r>
            <w:r w:rsidR="009453D9" w:rsidRPr="2E4651AE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Pr="2E4651AE">
              <w:rPr>
                <w:rFonts w:ascii="Calibri" w:eastAsia="Calibri" w:hAnsi="Calibri" w:cs="Calibri"/>
                <w:color w:val="000000" w:themeColor="text1"/>
              </w:rPr>
              <w:t>training</w:t>
            </w:r>
          </w:p>
          <w:p w14:paraId="20C6A2EB" w14:textId="77777777" w:rsidR="00D45C8F" w:rsidRPr="00D45C8F" w:rsidRDefault="00D45C8F" w:rsidP="00D45C8F">
            <w:pPr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>Removal from food preparation duties</w:t>
            </w:r>
          </w:p>
          <w:p w14:paraId="41FA8B7D" w14:textId="0AA358DD" w:rsidR="00BB00E8" w:rsidRPr="00D45C8F" w:rsidRDefault="00D45C8F" w:rsidP="2E4651AE">
            <w:pPr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2E4651AE">
              <w:rPr>
                <w:rFonts w:ascii="Calibri" w:eastAsia="Calibri" w:hAnsi="Calibri" w:cs="Calibri"/>
                <w:color w:val="000000" w:themeColor="text1"/>
              </w:rPr>
              <w:t xml:space="preserve">Disciplinary action in line with school or </w:t>
            </w:r>
            <w:r w:rsidRPr="2E4651AE">
              <w:rPr>
                <w:rFonts w:ascii="Calibri" w:eastAsia="Calibri" w:hAnsi="Calibri" w:cs="Calibri"/>
                <w:color w:val="000000" w:themeColor="text1"/>
                <w:highlight w:val="yellow"/>
              </w:rPr>
              <w:t>P&amp;C</w:t>
            </w:r>
            <w:r w:rsidR="009453D9" w:rsidRPr="2E4651AE">
              <w:rPr>
                <w:rFonts w:ascii="Calibri" w:eastAsia="Calibri" w:hAnsi="Calibri" w:cs="Calibri"/>
                <w:color w:val="000000" w:themeColor="text1"/>
                <w:highlight w:val="yellow"/>
              </w:rPr>
              <w:t>/P&amp;F</w:t>
            </w:r>
            <w:r w:rsidRPr="2E4651AE">
              <w:rPr>
                <w:rFonts w:ascii="Calibri" w:eastAsia="Calibri" w:hAnsi="Calibri" w:cs="Calibri"/>
                <w:color w:val="000000" w:themeColor="text1"/>
              </w:rPr>
              <w:t xml:space="preserve"> procedures</w:t>
            </w:r>
            <w:r w:rsidR="009453D9" w:rsidRPr="2E4651AE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BB00E8" w14:paraId="768870A1" w14:textId="77777777" w:rsidTr="2E4651AE">
        <w:tc>
          <w:tcPr>
            <w:tcW w:w="2122" w:type="dxa"/>
          </w:tcPr>
          <w:p w14:paraId="0E4E9579" w14:textId="5B9E9A06" w:rsidR="00BB00E8" w:rsidRPr="003567A6" w:rsidRDefault="002E096C" w:rsidP="2E4651A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2E4651AE">
              <w:rPr>
                <w:rFonts w:ascii="Calibri" w:eastAsia="Calibri" w:hAnsi="Calibri" w:cs="Calibri"/>
                <w:b/>
                <w:bCs/>
                <w:lang w:val="en-US"/>
              </w:rPr>
              <w:lastRenderedPageBreak/>
              <w:t>Related Policies, resources and documents:</w:t>
            </w:r>
          </w:p>
        </w:tc>
        <w:tc>
          <w:tcPr>
            <w:tcW w:w="6894" w:type="dxa"/>
          </w:tcPr>
          <w:p w14:paraId="0AC2318D" w14:textId="46B5ECF6" w:rsidR="00BB00E8" w:rsidRPr="00607B46" w:rsidRDefault="00720033" w:rsidP="2E4651AE">
            <w:pPr>
              <w:rPr>
                <w:rFonts w:ascii="Calibri" w:eastAsia="Calibri" w:hAnsi="Calibri" w:cs="Calibri"/>
                <w:i/>
                <w:iCs/>
                <w:highlight w:val="yellow"/>
                <w:lang w:val="en-US"/>
              </w:rPr>
            </w:pPr>
            <w:r w:rsidRPr="2E4651AE">
              <w:rPr>
                <w:rFonts w:ascii="Calibri" w:eastAsia="Calibri" w:hAnsi="Calibri" w:cs="Calibri"/>
                <w:i/>
                <w:iCs/>
                <w:highlight w:val="yellow"/>
                <w:lang w:val="en-US"/>
              </w:rPr>
              <w:t>(</w:t>
            </w:r>
            <w:r w:rsidR="002E096C" w:rsidRPr="2E4651AE">
              <w:rPr>
                <w:rFonts w:ascii="Calibri" w:eastAsia="Calibri" w:hAnsi="Calibri" w:cs="Calibri"/>
                <w:i/>
                <w:iCs/>
                <w:highlight w:val="yellow"/>
                <w:lang w:val="en-US"/>
              </w:rPr>
              <w:t>Are there associated documents that will make complying with this policy easier?</w:t>
            </w:r>
            <w:r w:rsidR="5E5C851B" w:rsidRPr="2E4651AE">
              <w:rPr>
                <w:rFonts w:ascii="Calibri" w:eastAsia="Calibri" w:hAnsi="Calibri" w:cs="Calibri"/>
                <w:i/>
                <w:iCs/>
                <w:highlight w:val="yellow"/>
                <w:lang w:val="en-US"/>
              </w:rPr>
              <w:t xml:space="preserve"> For example:</w:t>
            </w:r>
          </w:p>
          <w:p w14:paraId="4A961A2A" w14:textId="7AB6977F" w:rsidR="00BB00E8" w:rsidRPr="00607B46" w:rsidRDefault="00607B46" w:rsidP="2E4651A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i/>
                <w:iCs/>
                <w:highlight w:val="yellow"/>
                <w:lang w:val="en-US"/>
              </w:rPr>
            </w:pPr>
            <w:r w:rsidRPr="2E4651AE">
              <w:rPr>
                <w:rFonts w:ascii="Calibri" w:eastAsia="Calibri" w:hAnsi="Calibri" w:cs="Calibri"/>
                <w:i/>
                <w:iCs/>
                <w:highlight w:val="yellow"/>
              </w:rPr>
              <w:t>School Anaphylaxis Management Policy</w:t>
            </w:r>
          </w:p>
          <w:p w14:paraId="301C2232" w14:textId="0C0A927D" w:rsidR="00BB00E8" w:rsidRPr="00607B46" w:rsidRDefault="00607B46" w:rsidP="2E4651A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i/>
                <w:iCs/>
                <w:highlight w:val="yellow"/>
                <w:lang w:val="en-US"/>
              </w:rPr>
            </w:pPr>
            <w:r w:rsidRPr="2E4651AE">
              <w:rPr>
                <w:rFonts w:ascii="Calibri" w:eastAsia="Calibri" w:hAnsi="Calibri" w:cs="Calibri"/>
                <w:i/>
                <w:iCs/>
                <w:highlight w:val="yellow"/>
              </w:rPr>
              <w:t xml:space="preserve">Food Safety Program </w:t>
            </w:r>
          </w:p>
          <w:p w14:paraId="7C4D6BF2" w14:textId="1965033D" w:rsidR="00BB00E8" w:rsidRPr="00607B46" w:rsidRDefault="00607B46" w:rsidP="2E4651A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i/>
                <w:iCs/>
                <w:highlight w:val="yellow"/>
                <w:lang w:val="en-US"/>
              </w:rPr>
            </w:pPr>
            <w:r w:rsidRPr="2E4651AE">
              <w:rPr>
                <w:rFonts w:ascii="Calibri" w:eastAsia="Calibri" w:hAnsi="Calibri" w:cs="Calibri"/>
                <w:i/>
                <w:iCs/>
                <w:highlight w:val="yellow"/>
              </w:rPr>
              <w:t>Food Safety Plan</w:t>
            </w:r>
          </w:p>
          <w:p w14:paraId="486D5EFC" w14:textId="0F8FD412" w:rsidR="00BB00E8" w:rsidRPr="00607B46" w:rsidRDefault="00607B46" w:rsidP="2E4651A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i/>
                <w:iCs/>
                <w:highlight w:val="yellow"/>
                <w:lang w:val="en-US"/>
              </w:rPr>
            </w:pPr>
            <w:r w:rsidRPr="2E4651AE">
              <w:rPr>
                <w:rFonts w:ascii="Calibri" w:eastAsia="Calibri" w:hAnsi="Calibri" w:cs="Calibri"/>
                <w:i/>
                <w:iCs/>
                <w:highlight w:val="yellow"/>
              </w:rPr>
              <w:t xml:space="preserve">Cleaning and Sanitising Schedule </w:t>
            </w:r>
          </w:p>
          <w:p w14:paraId="77C909C3" w14:textId="59804875" w:rsidR="002E096C" w:rsidRPr="00607B46" w:rsidRDefault="0DCBC283" w:rsidP="2E4651AE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i/>
                <w:iCs/>
                <w:highlight w:val="yellow"/>
                <w:lang w:val="en-US"/>
              </w:rPr>
            </w:pPr>
            <w:r w:rsidRPr="2E4651AE">
              <w:rPr>
                <w:rFonts w:ascii="Calibri" w:eastAsia="Calibri" w:hAnsi="Calibri" w:cs="Calibri"/>
                <w:i/>
                <w:iCs/>
                <w:highlight w:val="yellow"/>
                <w:lang w:val="en-US"/>
              </w:rPr>
              <w:t>Hand Washing Poster</w:t>
            </w:r>
          </w:p>
        </w:tc>
      </w:tr>
      <w:tr w:rsidR="00BB00E8" w14:paraId="62081577" w14:textId="77777777" w:rsidTr="2E4651AE">
        <w:tc>
          <w:tcPr>
            <w:tcW w:w="2122" w:type="dxa"/>
          </w:tcPr>
          <w:p w14:paraId="6B55B4D1" w14:textId="687FE792" w:rsidR="00BB00E8" w:rsidRPr="003567A6" w:rsidRDefault="002E096C" w:rsidP="2E4651A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2E4651AE">
              <w:rPr>
                <w:rFonts w:ascii="Calibri" w:eastAsia="Calibri" w:hAnsi="Calibri" w:cs="Calibri"/>
                <w:b/>
                <w:bCs/>
                <w:lang w:val="en-US"/>
              </w:rPr>
              <w:t>Contact Information:</w:t>
            </w:r>
          </w:p>
        </w:tc>
        <w:tc>
          <w:tcPr>
            <w:tcW w:w="6894" w:type="dxa"/>
          </w:tcPr>
          <w:p w14:paraId="36862AA9" w14:textId="77777777" w:rsidR="0041384D" w:rsidRPr="0041384D" w:rsidRDefault="0041384D" w:rsidP="2E4651AE">
            <w:pPr>
              <w:rPr>
                <w:rFonts w:ascii="Calibri" w:eastAsia="Calibri" w:hAnsi="Calibri" w:cs="Calibri"/>
                <w:highlight w:val="yellow"/>
              </w:rPr>
            </w:pPr>
            <w:r w:rsidRPr="2E4651AE">
              <w:rPr>
                <w:rFonts w:ascii="Calibri" w:eastAsia="Calibri" w:hAnsi="Calibri" w:cs="Calibri"/>
                <w:highlight w:val="yellow"/>
              </w:rPr>
              <w:t>If staff or volunteers are unsure how to follow this policy or have suggestions for improvement, they should contact:</w:t>
            </w:r>
          </w:p>
          <w:p w14:paraId="541F651E" w14:textId="77777777" w:rsidR="0041384D" w:rsidRPr="0041384D" w:rsidRDefault="0041384D" w:rsidP="2E4651AE">
            <w:pPr>
              <w:numPr>
                <w:ilvl w:val="0"/>
                <w:numId w:val="14"/>
              </w:numPr>
              <w:rPr>
                <w:rFonts w:ascii="Calibri" w:eastAsia="Calibri" w:hAnsi="Calibri" w:cs="Calibri"/>
                <w:highlight w:val="yellow"/>
              </w:rPr>
            </w:pPr>
            <w:r w:rsidRPr="2E4651AE">
              <w:rPr>
                <w:rFonts w:ascii="Calibri" w:eastAsia="Calibri" w:hAnsi="Calibri" w:cs="Calibri"/>
                <w:highlight w:val="yellow"/>
              </w:rPr>
              <w:t>Tuckshop Convenor</w:t>
            </w:r>
          </w:p>
          <w:p w14:paraId="537713ED" w14:textId="77777777" w:rsidR="0041384D" w:rsidRPr="0041384D" w:rsidRDefault="0041384D" w:rsidP="2E4651AE">
            <w:pPr>
              <w:numPr>
                <w:ilvl w:val="0"/>
                <w:numId w:val="14"/>
              </w:numPr>
              <w:rPr>
                <w:rFonts w:ascii="Calibri" w:eastAsia="Calibri" w:hAnsi="Calibri" w:cs="Calibri"/>
                <w:highlight w:val="yellow"/>
              </w:rPr>
            </w:pPr>
            <w:r w:rsidRPr="2E4651AE">
              <w:rPr>
                <w:rFonts w:ascii="Calibri" w:eastAsia="Calibri" w:hAnsi="Calibri" w:cs="Calibri"/>
                <w:highlight w:val="yellow"/>
              </w:rPr>
              <w:t>School Principal or Business Manager</w:t>
            </w:r>
          </w:p>
          <w:p w14:paraId="29A1AF4D" w14:textId="79A0F3E2" w:rsidR="002E096C" w:rsidRPr="0041384D" w:rsidRDefault="0041384D" w:rsidP="2E4651AE">
            <w:pPr>
              <w:numPr>
                <w:ilvl w:val="0"/>
                <w:numId w:val="14"/>
              </w:numPr>
              <w:rPr>
                <w:rFonts w:ascii="Calibri" w:eastAsia="Calibri" w:hAnsi="Calibri" w:cs="Calibri"/>
                <w:highlight w:val="yellow"/>
              </w:rPr>
            </w:pPr>
            <w:r w:rsidRPr="2E4651AE">
              <w:rPr>
                <w:rFonts w:ascii="Calibri" w:eastAsia="Calibri" w:hAnsi="Calibri" w:cs="Calibri"/>
                <w:highlight w:val="yellow"/>
              </w:rPr>
              <w:t>P&amp;C/P&amp;F President</w:t>
            </w:r>
          </w:p>
          <w:p w14:paraId="52069828" w14:textId="535D83B1" w:rsidR="002E096C" w:rsidRDefault="4774AD1C" w:rsidP="2E4651AE">
            <w:pPr>
              <w:numPr>
                <w:ilvl w:val="0"/>
                <w:numId w:val="14"/>
              </w:numPr>
              <w:rPr>
                <w:rFonts w:ascii="Calibri" w:eastAsia="Calibri" w:hAnsi="Calibri" w:cs="Calibri"/>
                <w:highlight w:val="yellow"/>
                <w:lang w:val="en-US"/>
              </w:rPr>
            </w:pPr>
            <w:r w:rsidRPr="2E4651AE">
              <w:rPr>
                <w:rFonts w:ascii="Calibri" w:eastAsia="Calibri" w:hAnsi="Calibri" w:cs="Calibri"/>
                <w:highlight w:val="yellow"/>
              </w:rPr>
              <w:t>QAST</w:t>
            </w:r>
          </w:p>
        </w:tc>
      </w:tr>
      <w:tr w:rsidR="00BB00E8" w14:paraId="18FB3F75" w14:textId="77777777" w:rsidTr="2E4651AE">
        <w:trPr>
          <w:trHeight w:val="300"/>
        </w:trPr>
        <w:tc>
          <w:tcPr>
            <w:tcW w:w="2122" w:type="dxa"/>
          </w:tcPr>
          <w:p w14:paraId="79C767CB" w14:textId="3035C2DE" w:rsidR="00BB00E8" w:rsidRPr="003567A6" w:rsidRDefault="002E096C" w:rsidP="2E4651A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r w:rsidRPr="2E4651AE">
              <w:rPr>
                <w:rFonts w:ascii="Calibri" w:eastAsia="Calibri" w:hAnsi="Calibri" w:cs="Calibri"/>
                <w:b/>
                <w:bCs/>
                <w:lang w:val="en-US"/>
              </w:rPr>
              <w:t>Review Date:</w:t>
            </w:r>
          </w:p>
        </w:tc>
        <w:tc>
          <w:tcPr>
            <w:tcW w:w="6894" w:type="dxa"/>
          </w:tcPr>
          <w:p w14:paraId="71E5D3CC" w14:textId="07FDA73D" w:rsidR="00BB00E8" w:rsidRDefault="0041384D" w:rsidP="2E4651AE">
            <w:pPr>
              <w:rPr>
                <w:rFonts w:ascii="Calibri" w:eastAsia="Calibri" w:hAnsi="Calibri" w:cs="Calibri"/>
                <w:lang w:val="en-US"/>
              </w:rPr>
            </w:pPr>
            <w:r w:rsidRPr="2E4651AE">
              <w:rPr>
                <w:rFonts w:ascii="Calibri" w:eastAsia="Calibri" w:hAnsi="Calibri" w:cs="Calibri"/>
                <w:highlight w:val="yellow"/>
                <w:lang w:val="en-US"/>
              </w:rPr>
              <w:t>[insert date]</w:t>
            </w:r>
          </w:p>
        </w:tc>
      </w:tr>
    </w:tbl>
    <w:p w14:paraId="059AACAB" w14:textId="77777777" w:rsidR="00BB00E8" w:rsidRDefault="00BB00E8" w:rsidP="2E4651AE">
      <w:pPr>
        <w:rPr>
          <w:b/>
          <w:bCs/>
          <w:lang w:val="en-US"/>
        </w:rPr>
      </w:pPr>
    </w:p>
    <w:p w14:paraId="007D9583" w14:textId="0B105F39" w:rsidR="00720033" w:rsidRDefault="6A0503C0" w:rsidP="2E4651AE">
      <w:pPr>
        <w:rPr>
          <w:rFonts w:ascii="Calibri" w:eastAsia="Calibri" w:hAnsi="Calibri" w:cs="Calibri"/>
          <w:b/>
          <w:bCs/>
          <w:lang w:val="en-US"/>
        </w:rPr>
      </w:pPr>
      <w:r w:rsidRPr="2E4651AE">
        <w:rPr>
          <w:rFonts w:ascii="Calibri" w:eastAsia="Calibri" w:hAnsi="Calibri" w:cs="Calibri"/>
          <w:b/>
          <w:bCs/>
          <w:lang w:val="en-US"/>
        </w:rPr>
        <w:t>References and further reading:</w:t>
      </w:r>
    </w:p>
    <w:p w14:paraId="22668AFC" w14:textId="0189AC44" w:rsidR="00720033" w:rsidRDefault="6A0503C0" w:rsidP="2E4651A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en-US"/>
        </w:rPr>
      </w:pPr>
      <w:hyperlink r:id="rId10">
        <w:r w:rsidRPr="2E4651AE">
          <w:rPr>
            <w:rStyle w:val="Hyperlink"/>
            <w:rFonts w:ascii="Calibri" w:eastAsia="Calibri" w:hAnsi="Calibri" w:cs="Calibri"/>
            <w:lang w:val="en-US"/>
          </w:rPr>
          <w:t>National Allergy Council – Best Practice Guidelines for Anaphylaxis in Schools</w:t>
        </w:r>
      </w:hyperlink>
    </w:p>
    <w:p w14:paraId="22D6948D" w14:textId="139115E1" w:rsidR="00720033" w:rsidRDefault="6A0503C0" w:rsidP="2E4651A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hyperlink r:id="rId11">
        <w:r w:rsidRPr="2E4651AE">
          <w:rPr>
            <w:rStyle w:val="Hyperlink"/>
            <w:rFonts w:ascii="Calibri" w:eastAsia="Calibri" w:hAnsi="Calibri" w:cs="Calibri"/>
            <w:lang w:val="en-US"/>
          </w:rPr>
          <w:t>Sample anaphylaxis policy for schools</w:t>
        </w:r>
      </w:hyperlink>
    </w:p>
    <w:p w14:paraId="015549D9" w14:textId="1DCCC163" w:rsidR="00720033" w:rsidRDefault="6A0503C0" w:rsidP="2E4651A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en-US"/>
        </w:rPr>
      </w:pPr>
      <w:hyperlink r:id="rId12">
        <w:r w:rsidRPr="2E4651AE">
          <w:rPr>
            <w:rStyle w:val="Hyperlink"/>
            <w:rFonts w:ascii="Calibri" w:eastAsia="Calibri" w:hAnsi="Calibri" w:cs="Calibri"/>
            <w:lang w:val="en-US"/>
          </w:rPr>
          <w:t>National Allergy Council – Schools Resources</w:t>
        </w:r>
      </w:hyperlink>
    </w:p>
    <w:p w14:paraId="74CB37EC" w14:textId="170F93FD" w:rsidR="00720033" w:rsidRDefault="6A0503C0" w:rsidP="2E4651AE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lang w:val="en-US"/>
        </w:rPr>
      </w:pPr>
      <w:hyperlink r:id="rId13">
        <w:r w:rsidRPr="2E4651AE">
          <w:rPr>
            <w:rStyle w:val="Hyperlink"/>
            <w:rFonts w:ascii="Calibri" w:eastAsia="Calibri" w:hAnsi="Calibri" w:cs="Calibri"/>
            <w:lang w:val="en-US"/>
          </w:rPr>
          <w:t>National best practice guidelines for anaphylaxis prevention and management in Australian schools</w:t>
        </w:r>
      </w:hyperlink>
    </w:p>
    <w:p w14:paraId="57723FE0" w14:textId="1649D030" w:rsidR="00720033" w:rsidRDefault="00720033" w:rsidP="2E4651AE">
      <w:pPr>
        <w:pStyle w:val="ListParagraph"/>
        <w:rPr>
          <w:rFonts w:ascii="Calibri" w:eastAsia="Calibri" w:hAnsi="Calibri" w:cs="Calibri"/>
          <w:lang w:val="en-US"/>
        </w:rPr>
      </w:pPr>
    </w:p>
    <w:p w14:paraId="6DED5461" w14:textId="70B7EC79" w:rsidR="002E096C" w:rsidRPr="00BB00E8" w:rsidRDefault="002E096C">
      <w:pPr>
        <w:rPr>
          <w:lang w:val="en-US"/>
        </w:rPr>
      </w:pPr>
      <w:r w:rsidRPr="00720033">
        <w:rPr>
          <w:rFonts w:ascii="Calibri" w:eastAsia="Calibri" w:hAnsi="Calibri" w:cs="Calibri"/>
          <w:i/>
          <w:iCs/>
          <w:color w:val="000000"/>
        </w:rPr>
        <w:t>*This Policy Template was provided by the Queensland Association of School Tuckshops to support School Food Service Staff create policies that are relevant to their service.</w:t>
      </w:r>
      <w:r w:rsidR="00720033">
        <w:rPr>
          <w:rFonts w:ascii="Calibri" w:eastAsia="Calibri" w:hAnsi="Calibri" w:cs="Calibri"/>
          <w:i/>
          <w:iCs/>
          <w:color w:val="000000"/>
        </w:rPr>
        <w:t xml:space="preserve"> Remove the information provided in Italics in the document prior to publication. </w:t>
      </w:r>
    </w:p>
    <w:sectPr w:rsidR="002E096C" w:rsidRPr="00BB00E8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FA16" w14:textId="77777777" w:rsidR="009111D0" w:rsidRDefault="009111D0" w:rsidP="00BB00E8">
      <w:pPr>
        <w:spacing w:after="0" w:line="240" w:lineRule="auto"/>
      </w:pPr>
      <w:r>
        <w:separator/>
      </w:r>
    </w:p>
  </w:endnote>
  <w:endnote w:type="continuationSeparator" w:id="0">
    <w:p w14:paraId="2F3D1DD1" w14:textId="77777777" w:rsidR="009111D0" w:rsidRDefault="009111D0" w:rsidP="00BB0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A07F" w14:textId="0B03C7DE" w:rsidR="00BB00E8" w:rsidRDefault="00BB00E8" w:rsidP="00BB00E8">
    <w:pPr>
      <w:pStyle w:val="Footer"/>
      <w:jc w:val="center"/>
    </w:pPr>
  </w:p>
  <w:p w14:paraId="50C816AD" w14:textId="065FE381" w:rsidR="00BB00E8" w:rsidRDefault="00BB00E8">
    <w:pPr>
      <w:pStyle w:val="Footer"/>
    </w:pPr>
    <w:r>
      <w:t xml:space="preserve">Date Published: </w:t>
    </w:r>
  </w:p>
  <w:p w14:paraId="2D0FBA91" w14:textId="20A60100" w:rsidR="00BB00E8" w:rsidRDefault="00BB00E8">
    <w:pPr>
      <w:pStyle w:val="Footer"/>
    </w:pPr>
    <w:r>
      <w:t xml:space="preserve">Review Date: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EF7C" w14:textId="77777777" w:rsidR="009111D0" w:rsidRDefault="009111D0" w:rsidP="00BB00E8">
      <w:pPr>
        <w:spacing w:after="0" w:line="240" w:lineRule="auto"/>
      </w:pPr>
      <w:r>
        <w:separator/>
      </w:r>
    </w:p>
  </w:footnote>
  <w:footnote w:type="continuationSeparator" w:id="0">
    <w:p w14:paraId="1AA8B240" w14:textId="77777777" w:rsidR="009111D0" w:rsidRDefault="009111D0" w:rsidP="00BB0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2A07" w14:textId="660AF336" w:rsidR="00BB00E8" w:rsidRDefault="009111D0">
    <w:pPr>
      <w:pStyle w:val="Header"/>
    </w:pPr>
    <w:r>
      <w:rPr>
        <w:noProof/>
      </w:rPr>
      <w:pict w14:anchorId="5BBFBE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976985" o:spid="_x0000_s1026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F9F6" w14:textId="5D383284" w:rsidR="00BB00E8" w:rsidRPr="00BB00E8" w:rsidRDefault="009111D0" w:rsidP="00BB00E8">
    <w:pPr>
      <w:pStyle w:val="Header"/>
      <w:jc w:val="right"/>
      <w:rPr>
        <w:lang w:val="en-US"/>
      </w:rPr>
    </w:pPr>
    <w:r>
      <w:rPr>
        <w:noProof/>
      </w:rPr>
      <w:pict w14:anchorId="2A9EB5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976986" o:spid="_x0000_s1027" type="#_x0000_t136" style="position:absolute;left:0;text-align:left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BB00E8">
      <w:rPr>
        <w:lang w:val="en-US"/>
      </w:rPr>
      <w:t xml:space="preserve">INSERT SCHOOL, TUCKSHOP OR P&amp;C LOGO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B6CA" w14:textId="3C52FC16" w:rsidR="00BB00E8" w:rsidRDefault="009111D0">
    <w:pPr>
      <w:pStyle w:val="Header"/>
    </w:pPr>
    <w:r>
      <w:rPr>
        <w:noProof/>
      </w:rPr>
      <w:pict w14:anchorId="65E5CF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976984" o:spid="_x0000_s1025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1B1D"/>
    <w:multiLevelType w:val="multilevel"/>
    <w:tmpl w:val="B3463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163FF"/>
    <w:multiLevelType w:val="multilevel"/>
    <w:tmpl w:val="F1BC6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0418E"/>
    <w:multiLevelType w:val="hybridMultilevel"/>
    <w:tmpl w:val="481494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67E99"/>
    <w:multiLevelType w:val="multilevel"/>
    <w:tmpl w:val="2A0E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515A4"/>
    <w:multiLevelType w:val="multilevel"/>
    <w:tmpl w:val="D9366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2E20BD"/>
    <w:multiLevelType w:val="multilevel"/>
    <w:tmpl w:val="76564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4D3C6C"/>
    <w:multiLevelType w:val="multilevel"/>
    <w:tmpl w:val="99A2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313894"/>
    <w:multiLevelType w:val="multilevel"/>
    <w:tmpl w:val="6950B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60A1B"/>
    <w:multiLevelType w:val="hybridMultilevel"/>
    <w:tmpl w:val="99AA9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26272"/>
    <w:multiLevelType w:val="hybridMultilevel"/>
    <w:tmpl w:val="FD647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55B62"/>
    <w:multiLevelType w:val="multilevel"/>
    <w:tmpl w:val="2012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223BA5"/>
    <w:multiLevelType w:val="multilevel"/>
    <w:tmpl w:val="DF928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9234EC"/>
    <w:multiLevelType w:val="hybridMultilevel"/>
    <w:tmpl w:val="98440EB6"/>
    <w:lvl w:ilvl="0" w:tplc="D92E4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A3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DA9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48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2C0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C45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1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82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A41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D1C3"/>
    <w:multiLevelType w:val="hybridMultilevel"/>
    <w:tmpl w:val="AC7233D4"/>
    <w:lvl w:ilvl="0" w:tplc="9BDAA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09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89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4D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0C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80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EE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65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AA7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3841">
    <w:abstractNumId w:val="12"/>
  </w:num>
  <w:num w:numId="2" w16cid:durableId="1860046501">
    <w:abstractNumId w:val="13"/>
  </w:num>
  <w:num w:numId="3" w16cid:durableId="1858345527">
    <w:abstractNumId w:val="9"/>
  </w:num>
  <w:num w:numId="4" w16cid:durableId="750813094">
    <w:abstractNumId w:val="8"/>
  </w:num>
  <w:num w:numId="5" w16cid:durableId="166218931">
    <w:abstractNumId w:val="2"/>
  </w:num>
  <w:num w:numId="6" w16cid:durableId="106200269">
    <w:abstractNumId w:val="6"/>
  </w:num>
  <w:num w:numId="7" w16cid:durableId="386228016">
    <w:abstractNumId w:val="5"/>
  </w:num>
  <w:num w:numId="8" w16cid:durableId="651328144">
    <w:abstractNumId w:val="0"/>
  </w:num>
  <w:num w:numId="9" w16cid:durableId="553471418">
    <w:abstractNumId w:val="4"/>
  </w:num>
  <w:num w:numId="10" w16cid:durableId="77874927">
    <w:abstractNumId w:val="1"/>
  </w:num>
  <w:num w:numId="11" w16cid:durableId="495608797">
    <w:abstractNumId w:val="11"/>
  </w:num>
  <w:num w:numId="12" w16cid:durableId="561789594">
    <w:abstractNumId w:val="7"/>
  </w:num>
  <w:num w:numId="13" w16cid:durableId="762798693">
    <w:abstractNumId w:val="10"/>
  </w:num>
  <w:num w:numId="14" w16cid:durableId="1783572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E8"/>
    <w:rsid w:val="000549CE"/>
    <w:rsid w:val="000803AA"/>
    <w:rsid w:val="002C1F4B"/>
    <w:rsid w:val="002C5CD9"/>
    <w:rsid w:val="002C7025"/>
    <w:rsid w:val="002E096C"/>
    <w:rsid w:val="003567A6"/>
    <w:rsid w:val="0041384D"/>
    <w:rsid w:val="005A30C4"/>
    <w:rsid w:val="00607B46"/>
    <w:rsid w:val="00610F31"/>
    <w:rsid w:val="006B78F9"/>
    <w:rsid w:val="006C6FE6"/>
    <w:rsid w:val="00720033"/>
    <w:rsid w:val="0073216B"/>
    <w:rsid w:val="00741909"/>
    <w:rsid w:val="0086446A"/>
    <w:rsid w:val="009111D0"/>
    <w:rsid w:val="009453D9"/>
    <w:rsid w:val="00AB2A4C"/>
    <w:rsid w:val="00BB00E8"/>
    <w:rsid w:val="00BD575D"/>
    <w:rsid w:val="00D00CE6"/>
    <w:rsid w:val="00D45C8F"/>
    <w:rsid w:val="00DD1D1D"/>
    <w:rsid w:val="00E84193"/>
    <w:rsid w:val="056C6304"/>
    <w:rsid w:val="0D97DD3A"/>
    <w:rsid w:val="0DCBC283"/>
    <w:rsid w:val="0F076E41"/>
    <w:rsid w:val="10E177E2"/>
    <w:rsid w:val="11480E05"/>
    <w:rsid w:val="18333149"/>
    <w:rsid w:val="20B4D092"/>
    <w:rsid w:val="220E8C70"/>
    <w:rsid w:val="25F21D29"/>
    <w:rsid w:val="27FA1A6A"/>
    <w:rsid w:val="2E4651AE"/>
    <w:rsid w:val="3A42519A"/>
    <w:rsid w:val="43B37F25"/>
    <w:rsid w:val="4774AD1C"/>
    <w:rsid w:val="58A9D478"/>
    <w:rsid w:val="5E5C851B"/>
    <w:rsid w:val="6A0503C0"/>
    <w:rsid w:val="6D4CFED7"/>
    <w:rsid w:val="76364364"/>
    <w:rsid w:val="7B29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452B7"/>
  <w15:chartTrackingRefBased/>
  <w15:docId w15:val="{78A13058-BD27-4D41-865C-80D0849B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0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0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0E8"/>
  </w:style>
  <w:style w:type="paragraph" w:styleId="Footer">
    <w:name w:val="footer"/>
    <w:basedOn w:val="Normal"/>
    <w:link w:val="FooterChar"/>
    <w:uiPriority w:val="99"/>
    <w:unhideWhenUsed/>
    <w:rsid w:val="00BB0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0E8"/>
  </w:style>
  <w:style w:type="table" w:styleId="TableGrid">
    <w:name w:val="Table Grid"/>
    <w:basedOn w:val="TableNormal"/>
    <w:uiPriority w:val="39"/>
    <w:rsid w:val="00BB0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2E4651AE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ubmed.ncbi.nlm.nih.gov/40125454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ationalallergycouncil.org.au/resources-links/schools-and-cec/schools-resourc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llergyaware.org.au/schools/sample-anaphylaxis-policy-for-school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allergyaware.org.au/schools/best-practice-guidelines-school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47daad-e99a-490a-a3f5-efbc6a9c89b6">
      <Terms xmlns="http://schemas.microsoft.com/office/infopath/2007/PartnerControls"/>
    </lcf76f155ced4ddcb4097134ff3c332f>
    <TaxCatchAll xmlns="4e5a8241-3540-4550-86d5-c1445d7062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FCF76F32DA84B8B39D7AAD56D2C01" ma:contentTypeVersion="15" ma:contentTypeDescription="Create a new document." ma:contentTypeScope="" ma:versionID="f7cec384bcb1765815b2f1086c73e59d">
  <xsd:schema xmlns:xsd="http://www.w3.org/2001/XMLSchema" xmlns:xs="http://www.w3.org/2001/XMLSchema" xmlns:p="http://schemas.microsoft.com/office/2006/metadata/properties" xmlns:ns2="9047daad-e99a-490a-a3f5-efbc6a9c89b6" xmlns:ns3="4e5a8241-3540-4550-86d5-c1445d7062e1" targetNamespace="http://schemas.microsoft.com/office/2006/metadata/properties" ma:root="true" ma:fieldsID="e9f6ed3f5ad895762bbebdb98edcbea4" ns2:_="" ns3:_="">
    <xsd:import namespace="9047daad-e99a-490a-a3f5-efbc6a9c89b6"/>
    <xsd:import namespace="4e5a8241-3540-4550-86d5-c1445d706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7daad-e99a-490a-a3f5-efbc6a9c8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435b4e-1cb0-41cb-bd5d-c78481eb4e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8241-3540-4550-86d5-c1445d7062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2226cb-3e40-4ac9-8fbf-aefe69e00f63}" ma:internalName="TaxCatchAll" ma:showField="CatchAllData" ma:web="4e5a8241-3540-4550-86d5-c1445d706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9C852-15A3-402C-9546-BDF3C589D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7B4D1-6433-4BA0-A6CA-3E96486BF660}">
  <ds:schemaRefs>
    <ds:schemaRef ds:uri="http://schemas.microsoft.com/office/2006/metadata/properties"/>
    <ds:schemaRef ds:uri="http://schemas.microsoft.com/office/infopath/2007/PartnerControls"/>
    <ds:schemaRef ds:uri="9047daad-e99a-490a-a3f5-efbc6a9c89b6"/>
    <ds:schemaRef ds:uri="4e5a8241-3540-4550-86d5-c1445d7062e1"/>
  </ds:schemaRefs>
</ds:datastoreItem>
</file>

<file path=customXml/itemProps3.xml><?xml version="1.0" encoding="utf-8"?>
<ds:datastoreItem xmlns:ds="http://schemas.openxmlformats.org/officeDocument/2006/customXml" ds:itemID="{D268723E-FD91-47F3-B4FC-9DC701E85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7daad-e99a-490a-a3f5-efbc6a9c89b6"/>
    <ds:schemaRef ds:uri="4e5a8241-3540-4550-86d5-c1445d706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Blines</dc:creator>
  <cp:keywords/>
  <dc:description/>
  <cp:lastModifiedBy>Chrissy Buzzard</cp:lastModifiedBy>
  <cp:revision>14</cp:revision>
  <dcterms:created xsi:type="dcterms:W3CDTF">2025-11-26T06:07:00Z</dcterms:created>
  <dcterms:modified xsi:type="dcterms:W3CDTF">2026-02-26T01:51:00Z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0x010100360FCF76F32DA84B8B39D7AAD56D2C01</vt:lpwstr>
  </property>
  <property fmtid="{D5CDD505-2E9C-101B-9397-08002B2CF9AE}" pid="3" name="MediaServiceImageTags">
    <vt:lpwstr/>
  </property>
</Properties>
</file>